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69" w:rsidRDefault="00AD7369" w:rsidP="00AD7369">
      <w:pPr>
        <w:spacing w:after="100" w:afterAutospacing="1"/>
        <w:ind w:left="57"/>
        <w:jc w:val="center"/>
        <w:rPr>
          <w:rFonts w:cs="B Titr"/>
          <w:sz w:val="24"/>
          <w:szCs w:val="24"/>
          <w:rtl/>
        </w:rPr>
      </w:pPr>
      <w:r w:rsidRPr="006832F9">
        <w:rPr>
          <w:rFonts w:cs="B Titr" w:hint="cs"/>
          <w:sz w:val="24"/>
          <w:szCs w:val="24"/>
          <w:rtl/>
        </w:rPr>
        <w:t>صفات عمومی دانشجویان پرستاری در محیط بالین( کارآموزی و کارورزی در عرصه)</w:t>
      </w:r>
    </w:p>
    <w:p w:rsidR="00AD7369" w:rsidRPr="00912138" w:rsidRDefault="00AD7369" w:rsidP="00AD7369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 شروع کارآموزی یا کارورزی:</w:t>
      </w:r>
    </w:p>
    <w:p w:rsidR="00AD7369" w:rsidRPr="00912138" w:rsidRDefault="00AD7369" w:rsidP="00AD7369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 خانوادگی: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</w:t>
      </w:r>
      <w:r w:rsidR="00FB3376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پایان</w:t>
      </w:r>
      <w:r w:rsidR="00FB3376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کارآموزی</w:t>
      </w:r>
      <w:r w:rsidR="00FB3376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یاکارورزی</w:t>
      </w:r>
      <w:r w:rsidRPr="00912138">
        <w:rPr>
          <w:rFonts w:cs="B Mitra"/>
          <w:sz w:val="24"/>
          <w:szCs w:val="24"/>
          <w:rtl/>
        </w:rPr>
        <w:t>:</w:t>
      </w:r>
    </w:p>
    <w:p w:rsidR="00AD7369" w:rsidRPr="00912138" w:rsidRDefault="00AD7369" w:rsidP="00AD7369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 xml:space="preserve">نام بخش:                       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نام واحد کارآموزی یا کارورزی:</w:t>
      </w:r>
    </w:p>
    <w:tbl>
      <w:tblPr>
        <w:tblStyle w:val="TableGrid"/>
        <w:bidiVisual/>
        <w:tblW w:w="10478" w:type="dxa"/>
        <w:jc w:val="center"/>
        <w:tblInd w:w="-505" w:type="dxa"/>
        <w:tblLayout w:type="fixed"/>
        <w:tblLook w:val="04A0"/>
      </w:tblPr>
      <w:tblGrid>
        <w:gridCol w:w="1247"/>
        <w:gridCol w:w="5823"/>
        <w:gridCol w:w="708"/>
        <w:gridCol w:w="709"/>
        <w:gridCol w:w="567"/>
        <w:gridCol w:w="709"/>
        <w:gridCol w:w="715"/>
      </w:tblGrid>
      <w:tr w:rsidR="00AD7369" w:rsidRPr="00E0701A" w:rsidTr="00AD7369">
        <w:trPr>
          <w:trHeight w:val="96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3" w:type="dxa"/>
            <w:vMerge w:val="restart"/>
          </w:tcPr>
          <w:p w:rsidR="00AD7369" w:rsidRPr="00E0701A" w:rsidRDefault="00AD7369" w:rsidP="00634F9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E0701A">
              <w:rPr>
                <w:rFonts w:cs="B Tit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3408" w:type="dxa"/>
            <w:gridSpan w:val="5"/>
          </w:tcPr>
          <w:p w:rsidR="00AD7369" w:rsidRPr="00E0701A" w:rsidRDefault="00AD7369" w:rsidP="00634F9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701A">
              <w:rPr>
                <w:rFonts w:cs="B Titr" w:hint="cs"/>
                <w:sz w:val="24"/>
                <w:szCs w:val="24"/>
                <w:rtl/>
              </w:rPr>
              <w:t>امتیاز</w:t>
            </w:r>
          </w:p>
        </w:tc>
      </w:tr>
      <w:tr w:rsidR="00AD7369" w:rsidRPr="00E0701A" w:rsidTr="00AD7369">
        <w:trPr>
          <w:trHeight w:val="149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  <w:vMerge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همیشه</w:t>
            </w:r>
          </w:p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(1)</w:t>
            </w:r>
          </w:p>
        </w:tc>
        <w:tc>
          <w:tcPr>
            <w:tcW w:w="709" w:type="dxa"/>
          </w:tcPr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اغلب</w:t>
            </w:r>
          </w:p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(75/0)</w:t>
            </w:r>
          </w:p>
        </w:tc>
        <w:tc>
          <w:tcPr>
            <w:tcW w:w="567" w:type="dxa"/>
          </w:tcPr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گاهی</w:t>
            </w:r>
          </w:p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(5/0)</w:t>
            </w:r>
          </w:p>
        </w:tc>
        <w:tc>
          <w:tcPr>
            <w:tcW w:w="709" w:type="dxa"/>
          </w:tcPr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بندرت</w:t>
            </w:r>
          </w:p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(25/0)</w:t>
            </w:r>
          </w:p>
        </w:tc>
        <w:tc>
          <w:tcPr>
            <w:tcW w:w="715" w:type="dxa"/>
          </w:tcPr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مشاهده نشد(0)</w:t>
            </w:r>
          </w:p>
        </w:tc>
      </w:tr>
      <w:tr w:rsidR="00AD7369" w:rsidRPr="00E0701A" w:rsidTr="00AD7369">
        <w:trPr>
          <w:trHeight w:val="122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وقت شناسی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حضور به موقع در محل کارآموزی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63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 xml:space="preserve">خروج به موقع از </w:t>
            </w:r>
            <w:r>
              <w:rPr>
                <w:rFonts w:cs="B Mitra" w:hint="cs"/>
                <w:sz w:val="24"/>
                <w:szCs w:val="24"/>
                <w:rtl/>
              </w:rPr>
              <w:t>بخش را رعایت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76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غیبت ندارد.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09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FB3376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 xml:space="preserve">مقنه </w:t>
            </w:r>
            <w:r w:rsidR="00FB3376">
              <w:rPr>
                <w:rFonts w:cs="B Mitra" w:hint="cs"/>
                <w:sz w:val="24"/>
                <w:szCs w:val="24"/>
                <w:rtl/>
              </w:rPr>
              <w:t>سرمه ای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 xml:space="preserve">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22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کارت شناسایی معتبر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63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76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63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36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36"/>
          <w:jc w:val="center"/>
        </w:trPr>
        <w:tc>
          <w:tcPr>
            <w:tcW w:w="1247" w:type="dxa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231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81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81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در انجام وظایف دقت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jc w:val="center"/>
        </w:trPr>
        <w:tc>
          <w:tcPr>
            <w:tcW w:w="1247" w:type="dxa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63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رفتار و برخورد</w:t>
            </w:r>
          </w:p>
        </w:tc>
        <w:tc>
          <w:tcPr>
            <w:tcW w:w="5823" w:type="dxa"/>
          </w:tcPr>
          <w:p w:rsidR="00AD7369" w:rsidRPr="006832F9" w:rsidRDefault="00AD7369" w:rsidP="00FB3376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همکاری</w:t>
            </w:r>
            <w:r w:rsidR="00FB337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و</w:t>
            </w:r>
            <w:r w:rsidR="00FB337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رفتاراحترام</w:t>
            </w:r>
            <w:r w:rsidR="00FB337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آمیز</w:t>
            </w:r>
            <w:r w:rsidR="00FB337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را</w:t>
            </w:r>
            <w:r w:rsidR="00FB337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با</w:t>
            </w:r>
            <w:r w:rsidR="00FB337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مربی مسئول در محیط</w:t>
            </w:r>
            <w:r w:rsidR="00FB337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کاراموزی</w:t>
            </w:r>
            <w:r w:rsidR="00FB337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دارد</w:t>
            </w:r>
            <w:r w:rsidRPr="006832F9">
              <w:rPr>
                <w:rFonts w:cs="B Mitra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231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95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22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حفظ ایمنی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22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ایمنی محیط بیمار را بررسی می کند و در صورت نیاز تدابیر ایمنی را بکار می برد.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17"/>
          <w:jc w:val="center"/>
        </w:trPr>
        <w:tc>
          <w:tcPr>
            <w:tcW w:w="1247" w:type="dxa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312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رعایت اصول اخلاقی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81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bookmarkStart w:id="0" w:name="_GoBack"/>
            <w:bookmarkEnd w:id="0"/>
            <w:r w:rsidRPr="00E0701A">
              <w:rPr>
                <w:rFonts w:cs="B Titr" w:hint="cs"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در مواجهه با موقعیتهای چالش برانگیز قدرت اظهار نظر دارد</w:t>
            </w: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823" w:type="dxa"/>
            <w:tcBorders>
              <w:bottom w:val="single" w:sz="4" w:space="0" w:color="auto"/>
            </w:tcBorders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A0729" w:rsidRDefault="00AA0729">
      <w:pPr>
        <w:rPr>
          <w:rtl/>
        </w:rPr>
      </w:pPr>
    </w:p>
    <w:tbl>
      <w:tblPr>
        <w:tblpPr w:leftFromText="180" w:rightFromText="180" w:vertAnchor="text" w:horzAnchor="page" w:tblpX="478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دانشجو</w:t>
            </w: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1"/>
        </w:trPr>
        <w:tc>
          <w:tcPr>
            <w:tcW w:w="802" w:type="dxa"/>
            <w:vMerge w:val="restart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0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    20% (4 نمره)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rtl/>
              </w:rPr>
            </w:pPr>
          </w:p>
        </w:tc>
      </w:tr>
      <w:tr w:rsidR="00AD7369" w:rsidRPr="00390EB6" w:rsidTr="00AD7369">
        <w:trPr>
          <w:trHeight w:val="293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92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60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</w:tbl>
    <w:p w:rsidR="00AD7369" w:rsidRDefault="00AD7369">
      <w:pPr>
        <w:rPr>
          <w:rtl/>
        </w:rPr>
      </w:pPr>
    </w:p>
    <w:p w:rsidR="00AD7369" w:rsidRPr="00F32F14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 xml:space="preserve">نام و امضاء مربی : 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>نام و امضاء دانشجو :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B Nazanin" w:hint="cs"/>
          <w:b/>
          <w:bCs/>
          <w:sz w:val="24"/>
          <w:szCs w:val="24"/>
          <w:rtl/>
        </w:rPr>
      </w:pPr>
    </w:p>
    <w:p w:rsidR="00FB3376" w:rsidRPr="00FB3376" w:rsidRDefault="00FB3376" w:rsidP="00AD7369">
      <w:pPr>
        <w:spacing w:after="0" w:line="48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90"/>
        <w:bidiVisual/>
        <w:tblW w:w="11057" w:type="dxa"/>
        <w:tblLayout w:type="fixed"/>
        <w:tblLook w:val="04A0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895B17" w:rsidRPr="00FB3376" w:rsidTr="001A35DD">
        <w:trPr>
          <w:trHeight w:val="65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895B17" w:rsidRPr="00FB3376" w:rsidRDefault="00895B17" w:rsidP="001A35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3376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lastRenderedPageBreak/>
              <w:t>کارآموزی فارماکولوژی بالینی</w:t>
            </w:r>
          </w:p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337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ارزیابی بصورت</w:t>
            </w:r>
          </w:p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3376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Pr="00FB3376"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  <w:r w:rsidRPr="00FB3376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FB3376">
              <w:rPr>
                <w:rFonts w:cs="B Nazanin"/>
                <w:b/>
                <w:bCs/>
                <w:sz w:val="24"/>
                <w:szCs w:val="24"/>
              </w:rPr>
              <w:t>B</w:t>
            </w:r>
            <w:r w:rsidRPr="00FB3376">
              <w:rPr>
                <w:rFonts w:cs="B Nazanin" w:hint="cs"/>
                <w:b/>
                <w:bCs/>
                <w:sz w:val="24"/>
                <w:szCs w:val="24"/>
                <w:rtl/>
              </w:rPr>
              <w:t>متوسط -</w:t>
            </w:r>
            <w:r w:rsidRPr="00FB3376">
              <w:rPr>
                <w:rFonts w:cs="B Nazanin"/>
                <w:b/>
                <w:bCs/>
                <w:sz w:val="24"/>
                <w:szCs w:val="24"/>
              </w:rPr>
              <w:t xml:space="preserve">C </w:t>
            </w:r>
            <w:r w:rsidRPr="00FB3376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تمرین بیشتر</w:t>
            </w:r>
          </w:p>
        </w:tc>
      </w:tr>
      <w:tr w:rsidR="00895B17" w:rsidRPr="00FB3376" w:rsidTr="00FB3376">
        <w:trPr>
          <w:trHeight w:val="905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3376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پرستاری</w:t>
            </w:r>
          </w:p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FB3376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FB3376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3376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3376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3376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FB3376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3376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895B17" w:rsidRPr="00FB3376" w:rsidRDefault="00895B17" w:rsidP="00FB337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3376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FB3376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FB3376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3376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895B17" w:rsidRPr="00FB3376" w:rsidRDefault="00895B17" w:rsidP="00FB337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3376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3376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895B17" w:rsidRPr="00FB3376" w:rsidTr="001A35DD">
        <w:trPr>
          <w:trHeight w:val="182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/>
                <w:sz w:val="24"/>
                <w:szCs w:val="24"/>
                <w:rtl/>
              </w:rPr>
              <w:t>آ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ﺷــﻨﺎﯾﯽﺑﺎﺑﺨــﺶ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ﯾﯽ، ﭘﺮوﻧﺪهﺑﯿﻤﺎر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ﮐﺎردﮐﺲ</w:t>
            </w: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608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/>
                <w:sz w:val="24"/>
                <w:szCs w:val="24"/>
                <w:rtl/>
              </w:rPr>
              <w:t>آ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ﺷــﻨﺎﯾﯽﺑا اﺻــﻄﻼﺣﺎت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وا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ﺧﺘﺼﺎرات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ﯾﯽ</w:t>
            </w: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79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/>
                <w:sz w:val="24"/>
                <w:szCs w:val="24"/>
                <w:rtl/>
              </w:rPr>
              <w:t>آ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ﺷــﻨﺎﯾﯽﺑﺎ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ﻧـﻮاع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ﺷﮑﺎل</w:t>
            </w:r>
            <w:r w:rsidRPr="00FB3376">
              <w:rPr>
                <w:rFonts w:cs="B Nazanin"/>
                <w:sz w:val="24"/>
                <w:szCs w:val="24"/>
                <w:rtl/>
              </w:rPr>
              <w:t>دارو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ﯾﯽ</w:t>
            </w:r>
          </w:p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14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/>
                <w:sz w:val="24"/>
                <w:szCs w:val="24"/>
                <w:rtl/>
              </w:rPr>
              <w:t>آ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ﺷـــﻨﺎﯾﯽﺑﺎنامﺗﺠﺎري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ﻫﺎيﭘﺮﻣﺼﺮف</w:t>
            </w:r>
          </w:p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236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 w:hint="cs"/>
                <w:sz w:val="24"/>
                <w:szCs w:val="24"/>
                <w:rtl/>
              </w:rPr>
              <w:t>رعایت 6 اﺻﻞﺻـﺤﯿﺢ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دارود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ا</w:t>
            </w:r>
            <w:r w:rsidRPr="00FB3376">
              <w:rPr>
                <w:rFonts w:cs="B Nazanin"/>
                <w:sz w:val="24"/>
                <w:szCs w:val="24"/>
                <w:rtl/>
              </w:rPr>
              <w:t>دن</w:t>
            </w:r>
          </w:p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88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/>
                <w:sz w:val="24"/>
                <w:szCs w:val="24"/>
                <w:rtl/>
              </w:rPr>
              <w:t>آ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ﺷﻨﺎﯾﯽﺑﺎآنتی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دوت 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ﺑﺮﺧﯽ</w:t>
            </w:r>
            <w:r w:rsidRPr="00FB3376">
              <w:rPr>
                <w:rFonts w:cs="B Nazanin"/>
                <w:sz w:val="24"/>
                <w:szCs w:val="24"/>
                <w:rtl/>
              </w:rPr>
              <w:t>دارو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ﻫﺎيﭘﺮﻣﺼﺮف</w:t>
            </w:r>
          </w:p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2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/>
                <w:sz w:val="24"/>
                <w:szCs w:val="24"/>
                <w:rtl/>
              </w:rPr>
              <w:t>آ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ﺷــﻨﺎﯾﯽﮐﻠﯽﺑﺎ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ﻫﺎيﺗﺮاﻟﯽ</w:t>
            </w:r>
            <w:r w:rsidRPr="00FB3376">
              <w:rPr>
                <w:rFonts w:cs="B Nazanin"/>
                <w:sz w:val="24"/>
                <w:szCs w:val="24"/>
                <w:rtl/>
              </w:rPr>
              <w:t>اورژا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ﻧﺲ</w:t>
            </w:r>
          </w:p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225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/>
                <w:sz w:val="24"/>
                <w:szCs w:val="24"/>
                <w:rtl/>
              </w:rPr>
              <w:t>آ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ﺷﻨﺎﯾﯽﺑﺎﭘﺎﯾﺪاري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ﻫـا(حداقل6مورد)</w:t>
            </w:r>
          </w:p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559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 w:hint="cs"/>
                <w:sz w:val="24"/>
                <w:szCs w:val="24"/>
                <w:rtl/>
              </w:rPr>
              <w:t>آﺷﻨﺎﯾﯽﺑﺎﺗﺪاﺧﻼت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ﯾـﯽﺷﺎﯾﻊ</w:t>
            </w:r>
            <w:r w:rsidRPr="00FB3376">
              <w:rPr>
                <w:rFonts w:cs="B Nazanin"/>
                <w:sz w:val="24"/>
                <w:szCs w:val="24"/>
                <w:rtl/>
              </w:rPr>
              <w:t>(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ﺣﺪاﻗﻞ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6 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FB3376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146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 w:hint="cs"/>
                <w:sz w:val="24"/>
                <w:szCs w:val="24"/>
                <w:rtl/>
              </w:rPr>
              <w:t>ﺗﺰرﯾﻖﻋﻀﻼﻧﯽ،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ﯾﺮﺟﻠﺪي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دا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ﺧﻞﺟﻠﺪي</w:t>
            </w:r>
          </w:p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423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/>
                <w:sz w:val="24"/>
                <w:szCs w:val="24"/>
                <w:rtl/>
              </w:rPr>
              <w:t>آ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ﺷﻨﺎﯾﯽﺑﺎﮔـﺰارشﻋﺎرﺿـﻪناﺧﻮاﺳﺘﻪ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ﯾﯽ(</w:t>
            </w:r>
            <w:r w:rsidRPr="00FB3376">
              <w:rPr>
                <w:rFonts w:cs="B Nazanin"/>
                <w:sz w:val="24"/>
                <w:szCs w:val="24"/>
              </w:rPr>
              <w:t>ADR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599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/>
                <w:sz w:val="24"/>
                <w:szCs w:val="24"/>
                <w:rtl/>
              </w:rPr>
              <w:t xml:space="preserve">دادن دارو 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ﺑﻪﺻـﻮرت بولوس</w:t>
            </w: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599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/>
                <w:sz w:val="24"/>
                <w:szCs w:val="24"/>
                <w:rtl/>
              </w:rPr>
              <w:t xml:space="preserve">دادن دارو 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ﺑﻪﺻـﻮرت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ﻧﻔﻮزﯾﻮن</w:t>
            </w: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235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/>
                <w:sz w:val="24"/>
                <w:szCs w:val="24"/>
                <w:rtl/>
              </w:rPr>
              <w:t xml:space="preserve">دادن 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ﺻﺤﯿﺢﻗﻄـﺮهﭼﺸﻤﯽ،ﮔﻮﺷﯽ</w:t>
            </w:r>
            <w:r w:rsidRPr="00FB3376">
              <w:rPr>
                <w:rFonts w:cs="B Nazanin"/>
                <w:sz w:val="24"/>
                <w:szCs w:val="24"/>
                <w:rtl/>
              </w:rPr>
              <w:t>و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ﺑﯿﻨﯽ</w:t>
            </w:r>
          </w:p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275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FB3376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/>
                <w:sz w:val="24"/>
                <w:szCs w:val="24"/>
                <w:rtl/>
              </w:rPr>
              <w:t>دادن دارو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ﻫﺎي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ﺳﺘﻨﺸﺎﻗﯽ</w:t>
            </w: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275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 w:hint="cs"/>
                <w:sz w:val="24"/>
                <w:szCs w:val="24"/>
                <w:rtl/>
              </w:rPr>
              <w:t>آﻣﻮزشﻣﺼﺮف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داروو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ﭘﯿﮕﯿـﺮيﻋﻮارض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ﺣﺘﻤﺎﻟﯽﺑﻪﺑﯿﻤﺎر</w:t>
            </w: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275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FB3376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 w:hint="cs"/>
                <w:sz w:val="24"/>
                <w:szCs w:val="24"/>
                <w:rtl/>
              </w:rPr>
              <w:t>ﻣﺤﺎﺳﺒﻪﺗﻌﺪادﻗﻄﺮاتﺳﺮم</w:t>
            </w: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5B17" w:rsidRPr="00FB3376" w:rsidTr="001A35DD">
        <w:trPr>
          <w:trHeight w:val="746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FB3376">
              <w:rPr>
                <w:rFonts w:cs="B Nazanin" w:hint="cs"/>
                <w:sz w:val="24"/>
                <w:szCs w:val="24"/>
                <w:rtl/>
              </w:rPr>
              <w:t>ﮐﻨﻔﺮاﻧﺲ</w:t>
            </w:r>
            <w:r w:rsidRPr="00FB3376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FB3376">
              <w:rPr>
                <w:rFonts w:cs="B Nazanin" w:hint="cs"/>
                <w:sz w:val="24"/>
                <w:szCs w:val="24"/>
                <w:rtl/>
              </w:rPr>
              <w:t>ﯾﯽ</w:t>
            </w:r>
          </w:p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895B17" w:rsidRPr="00FB3376" w:rsidRDefault="00895B1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B25FE" w:rsidRPr="00FB3376" w:rsidRDefault="000B25FE" w:rsidP="000B25FE">
      <w:pPr>
        <w:bidi w:val="0"/>
        <w:spacing w:after="0" w:line="240" w:lineRule="auto"/>
        <w:rPr>
          <w:rFonts w:cs="B Nazanin"/>
          <w:sz w:val="24"/>
          <w:szCs w:val="24"/>
          <w:rtl/>
        </w:rPr>
        <w:sectPr w:rsidR="000B25FE" w:rsidRPr="00FB3376" w:rsidSect="00FC4637">
          <w:pgSz w:w="11906" w:h="16838"/>
          <w:pgMar w:top="1134" w:right="794" w:bottom="1134" w:left="794" w:header="709" w:footer="709" w:gutter="0"/>
          <w:cols w:space="720"/>
          <w:bidi/>
          <w:rtlGutter/>
          <w:docGrid w:linePitch="299"/>
        </w:sectPr>
      </w:pPr>
    </w:p>
    <w:p w:rsidR="00AD7369" w:rsidRPr="00FB3376" w:rsidRDefault="00AD7369" w:rsidP="000B25FE">
      <w:pPr>
        <w:spacing w:after="0" w:line="240" w:lineRule="auto"/>
        <w:rPr>
          <w:rFonts w:cs="B Nazanin"/>
          <w:sz w:val="24"/>
          <w:szCs w:val="24"/>
        </w:rPr>
      </w:pPr>
    </w:p>
    <w:sectPr w:rsidR="00AD7369" w:rsidRPr="00FB3376" w:rsidSect="000B25FE">
      <w:footerReference w:type="default" r:id="rId7"/>
      <w:pgSz w:w="11906" w:h="16838"/>
      <w:pgMar w:top="794" w:right="1134" w:bottom="794" w:left="1134" w:header="709" w:footer="709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FA3" w:rsidRDefault="00F11FA3" w:rsidP="00FC094B">
      <w:pPr>
        <w:spacing w:after="0" w:line="240" w:lineRule="auto"/>
      </w:pPr>
      <w:r>
        <w:separator/>
      </w:r>
    </w:p>
  </w:endnote>
  <w:endnote w:type="continuationSeparator" w:id="1">
    <w:p w:rsidR="00F11FA3" w:rsidRDefault="00F11FA3" w:rsidP="00FC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DC" w:rsidRPr="009A3DAB" w:rsidRDefault="00196555" w:rsidP="009A3DAB">
    <w:pPr>
      <w:pStyle w:val="Footer"/>
      <w:jc w:val="center"/>
      <w:rPr>
        <w:rFonts w:cs="0 Titr Bold"/>
        <w:sz w:val="18"/>
        <w:szCs w:val="18"/>
        <w:rtl/>
      </w:rPr>
    </w:pPr>
    <w:r w:rsidRPr="009A3DAB">
      <w:rPr>
        <w:rFonts w:cs="0 Titr Bold"/>
        <w:sz w:val="18"/>
        <w:szCs w:val="18"/>
      </w:rPr>
      <w:fldChar w:fldCharType="begin"/>
    </w:r>
    <w:r w:rsidR="00604B54" w:rsidRPr="009A3DAB">
      <w:rPr>
        <w:rFonts w:cs="0 Titr Bold"/>
        <w:sz w:val="18"/>
        <w:szCs w:val="18"/>
      </w:rPr>
      <w:instrText xml:space="preserve"> PAGE   \* MERGEFORMAT </w:instrText>
    </w:r>
    <w:r w:rsidRPr="009A3DAB">
      <w:rPr>
        <w:rFonts w:cs="0 Titr Bold"/>
        <w:sz w:val="18"/>
        <w:szCs w:val="18"/>
      </w:rPr>
      <w:fldChar w:fldCharType="separate"/>
    </w:r>
    <w:r w:rsidR="00FB3376">
      <w:rPr>
        <w:rFonts w:cs="0 Titr Bold"/>
        <w:noProof/>
        <w:sz w:val="18"/>
        <w:szCs w:val="18"/>
        <w:rtl/>
      </w:rPr>
      <w:t>4</w:t>
    </w:r>
    <w:r w:rsidRPr="009A3DAB">
      <w:rPr>
        <w:rFonts w:cs="0 Titr Bold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FA3" w:rsidRDefault="00F11FA3" w:rsidP="00FC094B">
      <w:pPr>
        <w:spacing w:after="0" w:line="240" w:lineRule="auto"/>
      </w:pPr>
      <w:r>
        <w:separator/>
      </w:r>
    </w:p>
  </w:footnote>
  <w:footnote w:type="continuationSeparator" w:id="1">
    <w:p w:rsidR="00F11FA3" w:rsidRDefault="00F11FA3" w:rsidP="00FC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3FD"/>
    <w:multiLevelType w:val="hybridMultilevel"/>
    <w:tmpl w:val="F45C0AAE"/>
    <w:lvl w:ilvl="0" w:tplc="EED0311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7C82"/>
    <w:multiLevelType w:val="hybridMultilevel"/>
    <w:tmpl w:val="AE882C1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369"/>
    <w:rsid w:val="000B25FE"/>
    <w:rsid w:val="00196555"/>
    <w:rsid w:val="002C45E5"/>
    <w:rsid w:val="00304997"/>
    <w:rsid w:val="00367293"/>
    <w:rsid w:val="00412408"/>
    <w:rsid w:val="00531520"/>
    <w:rsid w:val="00604B54"/>
    <w:rsid w:val="00895B17"/>
    <w:rsid w:val="00AA0729"/>
    <w:rsid w:val="00AD7369"/>
    <w:rsid w:val="00DA4341"/>
    <w:rsid w:val="00F11FA3"/>
    <w:rsid w:val="00FB3376"/>
    <w:rsid w:val="00FC094B"/>
    <w:rsid w:val="00FC4637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9"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3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3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29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36729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Edo1</dc:creator>
  <cp:lastModifiedBy>Edo1</cp:lastModifiedBy>
  <cp:revision>4</cp:revision>
  <cp:lastPrinted>2016-09-03T05:16:00Z</cp:lastPrinted>
  <dcterms:created xsi:type="dcterms:W3CDTF">2016-09-03T03:47:00Z</dcterms:created>
  <dcterms:modified xsi:type="dcterms:W3CDTF">2016-09-03T05:21:00Z</dcterms:modified>
</cp:coreProperties>
</file>